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政协佛山市顺德区委员会办公室</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w:t>
      </w:r>
    </w:p>
    <w:p>
      <w:pPr>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区委</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巡察</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集中</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整改进展情况的通报</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区委巡察工作</w:t>
      </w:r>
      <w:r>
        <w:rPr>
          <w:rFonts w:hint="eastAsia" w:ascii="仿宋_GB2312" w:hAnsi="仿宋_GB2312" w:eastAsia="仿宋_GB2312" w:cs="仿宋_GB2312"/>
          <w:sz w:val="32"/>
          <w:szCs w:val="32"/>
        </w:rPr>
        <w:t>统一部署，2023年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巡察组</w:t>
      </w:r>
      <w:r>
        <w:rPr>
          <w:rFonts w:hint="eastAsia" w:ascii="仿宋_GB2312" w:hAnsi="仿宋_GB2312" w:eastAsia="仿宋_GB2312" w:cs="仿宋_GB2312"/>
          <w:sz w:val="32"/>
          <w:szCs w:val="32"/>
          <w:lang w:eastAsia="zh-CN"/>
        </w:rPr>
        <w:t>对政协佛山市顺德区委员会办公室</w:t>
      </w:r>
      <w:r>
        <w:rPr>
          <w:rFonts w:hint="eastAsia" w:ascii="仿宋_GB2312" w:hAnsi="仿宋_GB2312" w:eastAsia="仿宋_GB2312" w:cs="仿宋_GB2312"/>
          <w:sz w:val="32"/>
          <w:szCs w:val="32"/>
        </w:rPr>
        <w:t>（以下简称区</w:t>
      </w:r>
      <w:r>
        <w:rPr>
          <w:rFonts w:hint="eastAsia" w:ascii="仿宋_GB2312" w:hAnsi="仿宋_GB2312" w:eastAsia="仿宋_GB2312" w:cs="仿宋_GB2312"/>
          <w:sz w:val="32"/>
          <w:szCs w:val="32"/>
          <w:lang w:eastAsia="zh-CN"/>
        </w:rPr>
        <w:t>政协办公室</w:t>
      </w:r>
      <w:r>
        <w:rPr>
          <w:rFonts w:hint="eastAsia" w:ascii="仿宋_GB2312" w:hAnsi="仿宋_GB2312" w:eastAsia="仿宋_GB2312" w:cs="仿宋_GB2312"/>
          <w:sz w:val="32"/>
          <w:szCs w:val="32"/>
        </w:rPr>
        <w:t>）进行了巡察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区委第四巡察组向</w:t>
      </w:r>
      <w:r>
        <w:rPr>
          <w:rFonts w:hint="eastAsia" w:ascii="仿宋_GB2312" w:hAnsi="仿宋_GB2312" w:eastAsia="仿宋_GB2312" w:cs="仿宋_GB2312"/>
          <w:sz w:val="32"/>
          <w:szCs w:val="32"/>
          <w:lang w:eastAsia="zh-CN"/>
        </w:rPr>
        <w:t>区政协办公室</w:t>
      </w:r>
      <w:r>
        <w:rPr>
          <w:rFonts w:hint="eastAsia" w:ascii="仿宋_GB2312" w:hAnsi="仿宋_GB2312" w:eastAsia="仿宋_GB2312" w:cs="仿宋_GB2312"/>
          <w:sz w:val="32"/>
          <w:szCs w:val="32"/>
        </w:rPr>
        <w:t>反馈了巡察意见。根据《中国共产党巡视工作条例》和《中国共产党党内监督条例》有关规定，现将巡察整改进展情况予以公布。</w:t>
      </w:r>
    </w:p>
    <w:p>
      <w:pPr>
        <w:numPr>
          <w:ilvl w:val="0"/>
          <w:numId w:val="1"/>
        </w:num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党组班子履行巡察整改主体责任情况</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lang w:eastAsia="zh-CN"/>
        </w:rPr>
        <w:t>区政协办公室坚持把巡察整改作为一项重大政治任务和履行管党治党重大政治责任、</w:t>
      </w:r>
      <w:r>
        <w:rPr>
          <w:rFonts w:hint="eastAsia" w:ascii="仿宋_GB2312" w:hAnsi="仿宋_GB2312" w:eastAsia="仿宋_GB2312" w:cs="仿宋_GB2312"/>
          <w:sz w:val="32"/>
          <w:szCs w:val="32"/>
        </w:rPr>
        <w:t>落实全面从严治党</w:t>
      </w:r>
      <w:r>
        <w:rPr>
          <w:rFonts w:hint="eastAsia" w:ascii="仿宋_GB2312" w:hAnsi="仿宋_GB2312" w:eastAsia="仿宋_GB2312" w:cs="仿宋_GB2312"/>
          <w:sz w:val="32"/>
          <w:szCs w:val="32"/>
          <w:lang w:eastAsia="zh-CN"/>
        </w:rPr>
        <w:t>战略部署的有力抓手。对于区委第四巡察组反馈的意见，我办完全接受，照单全收，坚持以整改促进步，以高度的思想自觉正视问题，以强烈的责任意识改正问题，以此次巡察整改工作为契机，推进全面从严治党，加强区政协</w:t>
      </w:r>
      <w:r>
        <w:rPr>
          <w:rFonts w:hint="eastAsia" w:ascii="仿宋_GB2312" w:hAnsi="仿宋_GB2312" w:eastAsia="仿宋_GB2312" w:cs="仿宋_GB2312"/>
          <w:sz w:val="32"/>
          <w:szCs w:val="32"/>
        </w:rPr>
        <w:t>机关建设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改进工作作风、完善制度机制</w:t>
      </w:r>
      <w:r>
        <w:rPr>
          <w:rFonts w:hint="eastAsia" w:ascii="仿宋_GB2312" w:hAnsi="仿宋_GB2312" w:eastAsia="仿宋_GB2312" w:cs="仿宋_GB2312"/>
          <w:sz w:val="32"/>
          <w:szCs w:val="32"/>
          <w:lang w:eastAsia="zh-CN"/>
        </w:rPr>
        <w:t>，带动我办工作水平的全面提升</w:t>
      </w:r>
      <w:r>
        <w:rPr>
          <w:rFonts w:hint="eastAsia" w:ascii="仿宋_GB2312" w:hAnsi="仿宋_GB2312" w:eastAsia="仿宋_GB2312" w:cs="仿宋_GB2312"/>
          <w:sz w:val="32"/>
          <w:szCs w:val="32"/>
        </w:rPr>
        <w:t>。</w:t>
      </w:r>
    </w:p>
    <w:p>
      <w:pPr>
        <w:pStyle w:val="2"/>
        <w:ind w:firstLine="64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（一）深化思想认识，增强政治自觉。</w:t>
      </w:r>
      <w:r>
        <w:rPr>
          <w:rFonts w:hint="eastAsia" w:ascii="仿宋_GB2312" w:hAnsi="仿宋_GB2312" w:eastAsia="仿宋_GB2312" w:cs="仿宋_GB2312"/>
          <w:kern w:val="2"/>
          <w:sz w:val="32"/>
          <w:szCs w:val="32"/>
          <w:lang w:val="en-US" w:eastAsia="zh-CN" w:bidi="ar-SA"/>
        </w:rPr>
        <w:t>收到巡察反馈意见以来，为了充分统一思想，加强认识，为推进巡察整改工作凝神聚力，区政协办公室班子成员深入学习了习近平新时代中国特色社会主义思想和党的二十大精神，认真学习了习近平总书记关于全面从严治党的有关论述，切实在思想上提高了政治站位。同时，针对巡察反馈问题，区政协办公室多次召开专题会议，深入查摆突出问题，深刻剖析产生问题根源，制定出台反馈意见整改方案，根据明确的方案进行整改。</w:t>
      </w:r>
    </w:p>
    <w:p>
      <w:pPr>
        <w:pStyle w:val="2"/>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（二）加强组织领导，压实政治责任。</w:t>
      </w:r>
      <w:r>
        <w:rPr>
          <w:rFonts w:hint="eastAsia" w:ascii="仿宋_GB2312" w:hAnsi="仿宋_GB2312" w:eastAsia="仿宋_GB2312" w:cs="仿宋_GB2312"/>
          <w:kern w:val="2"/>
          <w:sz w:val="32"/>
          <w:szCs w:val="32"/>
          <w:lang w:val="en-US" w:eastAsia="zh-CN" w:bidi="ar-SA"/>
        </w:rPr>
        <w:t>为加强对巡察反馈意见整改工作的领导，压实主体责任，确保高标准、高质量扎实推进整改工作，第一时间成立了以办公室主要负责人为组长的巡察整改工作领导小组，制定并完善了相应的整改落实方案，建立问题清单、责任清单、任务清单和整改台账，对照巡察反馈问题，逐一制定整改措施，明确整改工作责任领导、责任股室、责任人以及整改内容、目标、时限要求。</w:t>
      </w:r>
    </w:p>
    <w:p>
      <w:pPr>
        <w:pStyle w:val="2"/>
        <w:ind w:firstLine="64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（三）坚持标本兼治，注重整改成效。</w:t>
      </w:r>
      <w:r>
        <w:rPr>
          <w:rFonts w:hint="eastAsia" w:ascii="仿宋_GB2312" w:hAnsi="仿宋_GB2312" w:eastAsia="仿宋_GB2312" w:cs="仿宋_GB2312"/>
          <w:kern w:val="2"/>
          <w:sz w:val="32"/>
          <w:szCs w:val="32"/>
          <w:lang w:val="en-US" w:eastAsia="zh-CN" w:bidi="ar-SA"/>
        </w:rPr>
        <w:t>区政协办公室坚持把全面整改和具体整改结合起来，把解决突出问题与建立长效机制结合起来，把抓好巡察反馈意见整改与推进党纪学习教育结合起来，既拿来“当下改”的具体举措，又建立“长久立”的工作机制，做到既治标又治本，实现用制度管人、管财、管物、管事的良好局面和长效机制，确保各项工作运行规范。</w:t>
      </w:r>
    </w:p>
    <w:p>
      <w:pPr>
        <w:numPr>
          <w:ilvl w:val="0"/>
          <w:numId w:val="1"/>
        </w:num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集中整改期内已完成的整改事项</w:t>
      </w:r>
    </w:p>
    <w:p>
      <w:pPr>
        <w:numPr>
          <w:ilvl w:val="0"/>
          <w:numId w:val="0"/>
        </w:numPr>
        <w:ind w:firstLine="643"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（一）学习贯彻习近平新时代中国特色社会主义思想和上级决策部署方面</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1.加强提案办理工作。</w:t>
      </w:r>
      <w:r>
        <w:rPr>
          <w:rFonts w:hint="eastAsia" w:ascii="仿宋_GB2312" w:hAnsi="仿宋_GB2312" w:eastAsia="仿宋_GB2312" w:cs="仿宋_GB2312"/>
          <w:sz w:val="32"/>
          <w:szCs w:val="32"/>
          <w:lang w:val="en-US" w:eastAsia="zh-CN"/>
        </w:rPr>
        <w:t>认真学习提案办理工作的指导性文件，充分认识提案办理工作的重要性。加强与区政府办公室沟通，在提案交办时列明办理、签收及答复要求。督促提案承办单位及时签收和答复提案。把好提案办理落实质量关，认真审查办理落实情况分类，做到分类准确。坚持开展提案“回头看”活动，选取往年关注度较高的提案进行回头看，检验提案办理成果。</w:t>
      </w:r>
    </w:p>
    <w:p>
      <w:pPr>
        <w:pStyle w:val="2"/>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2.做好委员履职管理工作。</w:t>
      </w:r>
      <w:r>
        <w:rPr>
          <w:rFonts w:hint="eastAsia" w:ascii="仿宋_GB2312" w:hAnsi="仿宋_GB2312" w:eastAsia="仿宋_GB2312" w:cs="仿宋_GB2312"/>
          <w:kern w:val="2"/>
          <w:sz w:val="32"/>
          <w:szCs w:val="32"/>
          <w:lang w:val="en-US" w:eastAsia="zh-CN" w:bidi="ar-SA"/>
        </w:rPr>
        <w:t>制定政协委员履职工作规则及实施细则，严格按照制度开展委员履职管理和考核工作。建立委员个人履职档案，做到“一人一档”，及时登记好政协委员年度履职情况。进一步明晰优秀委员推荐条件和流程，加强对履职评分及优秀委员推荐的指导。</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3.落实意识形态工作责任制。</w:t>
      </w:r>
      <w:r>
        <w:rPr>
          <w:rFonts w:hint="eastAsia" w:ascii="仿宋_GB2312" w:hAnsi="仿宋_GB2312" w:eastAsia="仿宋_GB2312" w:cs="仿宋_GB2312"/>
          <w:sz w:val="32"/>
          <w:szCs w:val="32"/>
        </w:rPr>
        <w:t>强化思想引领，</w:t>
      </w:r>
      <w:r>
        <w:rPr>
          <w:rFonts w:hint="eastAsia" w:ascii="仿宋_GB2312" w:hAnsi="仿宋_GB2312" w:eastAsia="仿宋_GB2312" w:cs="仿宋_GB2312"/>
          <w:sz w:val="32"/>
          <w:szCs w:val="32"/>
          <w:lang w:eastAsia="zh-CN"/>
        </w:rPr>
        <w:t>进一步加强和改进意识形态工作。加强组织领导,全面落实意识形态工作责任制，压紧压实做好意识形态工作的政治责任、领导责任，将意识形态工作纳入单位重要议事日程，强化各班子成员“一岗双责”责任。落实分析研判机制，夯实安全稳定大局，</w:t>
      </w:r>
      <w:r>
        <w:rPr>
          <w:rFonts w:hint="eastAsia" w:ascii="仿宋_GB2312" w:hAnsi="仿宋_GB2312" w:eastAsia="仿宋_GB2312" w:cs="仿宋_GB2312"/>
          <w:sz w:val="32"/>
          <w:szCs w:val="32"/>
        </w:rPr>
        <w:t>制定落实意识形态及网络意识形态工作责任制文件，确保主体责任人能更好履行主体责任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全面落实网络安全和信息化工作</w:t>
      </w:r>
      <w:r>
        <w:rPr>
          <w:rFonts w:hint="eastAsia" w:ascii="仿宋_GB2312" w:hAnsi="仿宋_GB2312" w:eastAsia="仿宋_GB2312" w:cs="仿宋_GB2312"/>
          <w:sz w:val="32"/>
          <w:szCs w:val="32"/>
          <w:lang w:eastAsia="zh-CN"/>
        </w:rPr>
        <w:t>。强化网络综合治理，切实维护网络意识形态安全，加强政务新媒体内容审核把关和内容管理，对存在网络意识形态风险的模块进行优化，加强本单位网络阵地对网络意识形态的监控。</w:t>
      </w:r>
    </w:p>
    <w:p>
      <w:pPr>
        <w:numPr>
          <w:ilvl w:val="0"/>
          <w:numId w:val="2"/>
        </w:numPr>
        <w:ind w:firstLine="643" w:firstLineChars="200"/>
        <w:rPr>
          <w:rFonts w:hint="eastAsia" w:ascii="楷体_GB2312" w:hAnsi="楷体_GB2312" w:eastAsia="楷体_GB2312" w:cs="楷体_GB2312"/>
          <w:b/>
          <w:bCs/>
          <w:snapToGrid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bCs/>
          <w:snapToGrid w:val="0"/>
          <w:color w:val="000000" w:themeColor="text1"/>
          <w:spacing w:val="0"/>
          <w:kern w:val="0"/>
          <w:sz w:val="32"/>
          <w:szCs w:val="32"/>
          <w:highlight w:val="none"/>
          <w:u w:val="none"/>
          <w:lang w:val="en-US" w:eastAsia="zh-CN" w:bidi="ar-SA"/>
          <w14:textFill>
            <w14:solidFill>
              <w14:schemeClr w14:val="tx1"/>
            </w14:solidFill>
          </w14:textFill>
        </w:rPr>
        <w:t>落实全面从严治党主体责任方面</w:t>
      </w:r>
    </w:p>
    <w:p>
      <w:pPr>
        <w:pStyle w:val="2"/>
        <w:rPr>
          <w:rFonts w:hint="eastAsia" w:ascii="仿宋_GB2312" w:hAnsi="仿宋_GB2312" w:eastAsia="仿宋_GB2312" w:cs="仿宋_GB2312"/>
          <w:kern w:val="2"/>
          <w:sz w:val="32"/>
          <w:szCs w:val="32"/>
          <w:lang w:val="en-US" w:eastAsia="zh-CN" w:bidi="ar-SA"/>
        </w:rPr>
      </w:pPr>
      <w:r>
        <w:rPr>
          <w:rFonts w:hint="eastAsia"/>
          <w:color w:val="000000" w:themeColor="text1"/>
          <w:lang w:val="en-US" w:eastAsia="zh-CN"/>
          <w14:textFill>
            <w14:solidFill>
              <w14:schemeClr w14:val="tx1"/>
            </w14:solidFill>
          </w14:textFill>
        </w:rPr>
        <w:t xml:space="preserve">    </w:t>
      </w:r>
      <w:r>
        <w:rPr>
          <w:rFonts w:hint="eastAsia"/>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1.加强机关作风建设。</w:t>
      </w:r>
      <w:r>
        <w:rPr>
          <w:rFonts w:hint="eastAsia" w:ascii="仿宋_GB2312" w:hAnsi="仿宋_GB2312" w:eastAsia="仿宋_GB2312" w:cs="仿宋_GB2312"/>
          <w:kern w:val="2"/>
          <w:sz w:val="32"/>
          <w:szCs w:val="32"/>
          <w:lang w:val="en-US" w:eastAsia="zh-CN" w:bidi="ar-SA"/>
        </w:rPr>
        <w:t>严格执行办公室班子议事规则和财务管理制度，落实“一把手”末位表态的有关规定。保持严谨的工作作风，不断提升文字能力水平。扛起管理监督职责，严格按照规章制度办理相关手续，加强对项目实施全过程的监督管理，推进落实项目进度，明确责任主体的项目责任。</w:t>
      </w:r>
    </w:p>
    <w:p>
      <w:pPr>
        <w:numPr>
          <w:ilvl w:val="0"/>
          <w:numId w:val="0"/>
        </w:num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2.加强内控管理。</w:t>
      </w:r>
      <w:r>
        <w:rPr>
          <w:rFonts w:hint="eastAsia" w:ascii="仿宋_GB2312" w:hAnsi="仿宋_GB2312" w:eastAsia="仿宋_GB2312" w:cs="仿宋_GB2312"/>
          <w:sz w:val="32"/>
          <w:szCs w:val="32"/>
          <w:lang w:val="en-US" w:eastAsia="zh-CN"/>
        </w:rPr>
        <w:t>强化采购项目监管，规范项目的采购管理和验收管理，制定项目合同管理规范注意事项，规范合同制定的各项细节，明确合同项目各环节责任人与操作指南，规范和强化监督机制。</w:t>
      </w:r>
      <w:r>
        <w:rPr>
          <w:rFonts w:hint="eastAsia" w:ascii="仿宋_GB2312" w:hAnsi="仿宋_GB2312" w:eastAsia="仿宋_GB2312" w:cs="仿宋_GB2312"/>
          <w:sz w:val="32"/>
          <w:szCs w:val="32"/>
        </w:rPr>
        <w:t>结合工作实际，完善内控</w:t>
      </w:r>
      <w:r>
        <w:rPr>
          <w:rFonts w:hint="eastAsia" w:ascii="仿宋_GB2312" w:hAnsi="仿宋_GB2312" w:eastAsia="仿宋_GB2312" w:cs="仿宋_GB2312"/>
          <w:sz w:val="32"/>
          <w:szCs w:val="32"/>
          <w:lang w:eastAsia="zh-CN"/>
        </w:rPr>
        <w:t>制度，修订办公室班子会议议事规则、</w:t>
      </w:r>
      <w:r>
        <w:rPr>
          <w:rFonts w:hint="eastAsia" w:ascii="仿宋_GB2312" w:hAnsi="仿宋_GB2312" w:eastAsia="仿宋_GB2312" w:cs="仿宋_GB2312"/>
          <w:sz w:val="32"/>
          <w:szCs w:val="32"/>
          <w:lang w:val="en-US" w:eastAsia="zh-CN"/>
        </w:rPr>
        <w:t>财务管理制度、</w:t>
      </w:r>
      <w:r>
        <w:rPr>
          <w:rFonts w:hint="eastAsia" w:ascii="仿宋_GB2312" w:hAnsi="仿宋_GB2312" w:eastAsia="仿宋_GB2312" w:cs="仿宋_GB2312"/>
          <w:sz w:val="32"/>
          <w:szCs w:val="32"/>
        </w:rPr>
        <w:t>工会管理</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等，不断强化内部监督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从严规范固定资产管理，压</w:t>
      </w:r>
      <w:r>
        <w:rPr>
          <w:rFonts w:hint="eastAsia" w:ascii="仿宋_GB2312" w:hAnsi="仿宋_GB2312" w:eastAsia="仿宋_GB2312" w:cs="仿宋_GB2312"/>
          <w:sz w:val="32"/>
          <w:szCs w:val="32"/>
        </w:rPr>
        <w:t>实固定资产专管员职责</w:t>
      </w:r>
      <w:r>
        <w:rPr>
          <w:rFonts w:hint="eastAsia" w:ascii="仿宋_GB2312" w:hAnsi="仿宋_GB2312" w:eastAsia="仿宋_GB2312" w:cs="仿宋_GB2312"/>
          <w:sz w:val="32"/>
          <w:szCs w:val="32"/>
          <w:lang w:val="en-US" w:eastAsia="zh-CN"/>
        </w:rPr>
        <w:t>，明确每年进行一次定期清查盘点，</w:t>
      </w:r>
      <w:r>
        <w:rPr>
          <w:rFonts w:hint="eastAsia" w:ascii="仿宋_GB2312" w:hAnsi="仿宋_GB2312" w:eastAsia="仿宋_GB2312" w:cs="仿宋_GB2312"/>
          <w:sz w:val="32"/>
          <w:szCs w:val="32"/>
        </w:rPr>
        <w:t>严格落实固定资产管理</w:t>
      </w:r>
      <w:r>
        <w:rPr>
          <w:rFonts w:hint="eastAsia" w:ascii="仿宋_GB2312" w:hAnsi="仿宋_GB2312" w:eastAsia="仿宋_GB2312" w:cs="仿宋_GB2312"/>
          <w:sz w:val="32"/>
          <w:szCs w:val="32"/>
          <w:lang w:eastAsia="zh-CN"/>
        </w:rPr>
        <w:t>各项</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p>
    <w:p>
      <w:pPr>
        <w:numPr>
          <w:ilvl w:val="0"/>
          <w:numId w:val="0"/>
        </w:numPr>
        <w:ind w:firstLine="622" w:firstLineChars="200"/>
        <w:rPr>
          <w:rFonts w:hint="eastAsia" w:ascii="仿宋_GB2312" w:hAnsi="仿宋_GB2312" w:eastAsia="仿宋_GB2312" w:cs="仿宋_GB2312"/>
          <w:sz w:val="32"/>
          <w:szCs w:val="32"/>
          <w:lang w:val="en-US" w:eastAsia="zh-CN"/>
        </w:rPr>
      </w:pPr>
      <w:r>
        <w:rPr>
          <w:rFonts w:hint="eastAsia" w:ascii="仿宋_GB2312" w:hAnsi="宋体" w:eastAsia="仿宋_GB2312" w:cs="仿宋_GB2312"/>
          <w:b/>
          <w:bCs/>
          <w:i w:val="0"/>
          <w:caps w:val="0"/>
          <w:color w:val="000000" w:themeColor="text1"/>
          <w:spacing w:val="0"/>
          <w:kern w:val="2"/>
          <w:sz w:val="31"/>
          <w:szCs w:val="31"/>
          <w:shd w:val="clear" w:fill="FFFFFF"/>
          <w:lang w:val="en-US" w:eastAsia="zh-CN" w:bidi="ar-SA"/>
          <w14:textFill>
            <w14:solidFill>
              <w14:schemeClr w14:val="tx1"/>
            </w14:solidFill>
          </w14:textFill>
        </w:rPr>
        <w:t xml:space="preserve"> 3.严格执行财经纪律。</w:t>
      </w:r>
      <w:r>
        <w:rPr>
          <w:rFonts w:hint="eastAsia" w:ascii="仿宋_GB2312" w:hAnsi="仿宋_GB2312" w:eastAsia="仿宋_GB2312" w:cs="仿宋_GB2312"/>
          <w:sz w:val="32"/>
          <w:szCs w:val="32"/>
          <w:lang w:val="en-US" w:eastAsia="zh-CN"/>
        </w:rPr>
        <w:t>召开多次专题工作会议及专项培训，深入学习财务相关管理办法，严格按照财务管理制度办事，落实财务结算制度化和规范化。从严落实经费使用规定，</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lang w:val="en-US" w:eastAsia="zh-CN"/>
        </w:rPr>
        <w:t>财务审批结算操作指引进一步明确差旅费、接待费使用条件和标准，规范报销手续和材料。</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val="en-US" w:eastAsia="zh-CN"/>
        </w:rPr>
        <w:t>“过紧日子”的精神落实到位，厉行节约，提高资金使用效益，进一步规范经费预算及使用流程，确保资金分配科学合理、使用高效透明，加快专项转移支付资金的使用进度。</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3" w:firstLineChars="200"/>
        <w:textAlignment w:val="auto"/>
        <w:rPr>
          <w:rFonts w:hint="eastAsia" w:ascii="楷体_GB2312" w:hAnsi="楷体_GB2312" w:eastAsia="楷体_GB2312" w:cs="楷体_GB2312"/>
          <w:b/>
          <w:bCs/>
          <w:snapToGrid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bCs/>
          <w:snapToGrid w:val="0"/>
          <w:color w:val="000000" w:themeColor="text1"/>
          <w:spacing w:val="0"/>
          <w:kern w:val="0"/>
          <w:sz w:val="32"/>
          <w:szCs w:val="32"/>
          <w:highlight w:val="none"/>
          <w:u w:val="none"/>
          <w:lang w:val="en-US" w:eastAsia="zh-CN" w:bidi="ar-SA"/>
          <w14:textFill>
            <w14:solidFill>
              <w14:schemeClr w14:val="tx1"/>
            </w14:solidFill>
          </w14:textFill>
        </w:rPr>
        <w:t>（三）基层党组织规范化建设方面</w:t>
      </w:r>
    </w:p>
    <w:p>
      <w:pPr>
        <w:pStyle w:val="2"/>
        <w:rPr>
          <w:rFonts w:hint="eastAsia" w:ascii="楷体_GB2312" w:hAnsi="楷体_GB2312" w:eastAsia="楷体_GB2312" w:cs="楷体_GB2312"/>
          <w:b/>
          <w:bCs/>
          <w:snapToGrid w:val="0"/>
          <w:color w:val="000000" w:themeColor="text1"/>
          <w:spacing w:val="0"/>
          <w:kern w:val="0"/>
          <w:sz w:val="32"/>
          <w:szCs w:val="32"/>
          <w:highlight w:val="none"/>
          <w:u w:val="none"/>
          <w:lang w:val="en-US" w:eastAsia="zh-CN" w:bidi="ar-SA"/>
          <w14:textFill>
            <w14:solidFill>
              <w14:schemeClr w14:val="tx1"/>
            </w14:solidFill>
          </w14:textFill>
        </w:rPr>
      </w:pPr>
      <w:r>
        <w:rPr>
          <w:rFonts w:hint="eastAsia" w:ascii="楷体_GB2312" w:hAnsi="楷体_GB2312" w:eastAsia="楷体_GB2312" w:cs="楷体_GB2312"/>
          <w:b/>
          <w:bCs/>
          <w:snapToGrid w:val="0"/>
          <w:color w:val="000000" w:themeColor="text1"/>
          <w:spacing w:val="0"/>
          <w:kern w:val="0"/>
          <w:sz w:val="32"/>
          <w:szCs w:val="32"/>
          <w:highlight w:val="none"/>
          <w:u w:val="none"/>
          <w:lang w:val="en-US" w:eastAsia="zh-CN" w:bidi="ar-SA"/>
          <w14:textFill>
            <w14:solidFill>
              <w14:schemeClr w14:val="tx1"/>
            </w14:solidFill>
          </w14:textFill>
        </w:rPr>
        <w:t xml:space="preserve">     1.加强干部选拔任用管理，规范和完善干部档案管理。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集整理组织人事工作常用政策法规和干部人事档案工作规定等材料并汇编成册，以供办公室在编干部学习和实操指引。组织办公室班子成员和人事干部专题学习汇编资料，进一步规范选人用人和干部档案管理工作。落实办公室专门在编干部进一步做好办公室班子会议的会议记录和会议纪要工作。</w:t>
      </w:r>
    </w:p>
    <w:p>
      <w:pPr>
        <w:pStyle w:val="2"/>
        <w:ind w:firstLine="640"/>
        <w:rPr>
          <w:rFonts w:hint="eastAsia" w:ascii="仿宋_GB2312" w:hAnsi="宋体" w:eastAsia="仿宋_GB2312" w:cs="仿宋_GB2312"/>
          <w:b w:val="0"/>
          <w:bCs w:val="0"/>
          <w:i w:val="0"/>
          <w:caps w:val="0"/>
          <w:color w:val="000000" w:themeColor="text1"/>
          <w:spacing w:val="0"/>
          <w:kern w:val="2"/>
          <w:sz w:val="31"/>
          <w:szCs w:val="31"/>
          <w:shd w:val="clear" w:fill="FFFFFF"/>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2.加强基层党务规范化建设。</w:t>
      </w:r>
      <w:r>
        <w:rPr>
          <w:rFonts w:hint="eastAsia" w:ascii="仿宋_GB2312" w:hAnsi="仿宋_GB2312" w:eastAsia="仿宋_GB2312" w:cs="仿宋_GB2312"/>
          <w:kern w:val="2"/>
          <w:sz w:val="32"/>
          <w:szCs w:val="32"/>
          <w:lang w:val="en-US" w:eastAsia="zh-CN" w:bidi="ar-SA"/>
        </w:rPr>
        <w:t>严格落实“第一议题”制度，学习领会习近平总书记重要讲话和重要指示批示精神，结合政协工作实际提出贯彻落实的具体措施。深入学习《中国共产党发展党员工作细则》以及区直属机关党工委下发的发展党员指引和材料要求，进一步规范发展党员的程序，完整收集整理发展党员的材料并做好归档工作。认真学习《关于新形势下党内政治生活的若干准则》《中国共产党支部工作条例（试行）》等党内规章制度，督促落实党支部“三会一课”制度，指定专门党员规范详细填写《党支部工作手册》，机关党委定期开展检查督促。</w:t>
      </w:r>
    </w:p>
    <w:p>
      <w:pPr>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（四）落实巡察、审计问题整改方面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进一步加强公务用车管理。完善公务用车管理制度，明确公务用车使用范围和审批程序，落实车辆使用登记管理，规范公务用车日常使用各项环节的管理，落实定期检查监督工作。</w:t>
      </w:r>
    </w:p>
    <w:p>
      <w:pPr>
        <w:numPr>
          <w:ilvl w:val="0"/>
          <w:numId w:val="1"/>
        </w:numPr>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下一步工作整改安排</w:t>
      </w:r>
    </w:p>
    <w:p>
      <w:pPr>
        <w:rPr>
          <w:rFonts w:hint="eastAsia" w:ascii="仿宋_GB2312" w:hAnsi="仿宋_GB2312" w:eastAsia="仿宋_GB2312" w:cs="仿宋_GB2312"/>
          <w:sz w:val="32"/>
          <w:szCs w:val="32"/>
          <w:lang w:val="en-US" w:eastAsia="zh-CN"/>
        </w:rPr>
      </w:pPr>
      <w:r>
        <w:rPr>
          <w:rFonts w:hint="eastAsia"/>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sz w:val="32"/>
          <w:szCs w:val="32"/>
          <w:lang w:val="en-US" w:eastAsia="zh-CN"/>
        </w:rPr>
        <w:t>下一阶段，我办将持续深化细化巡察反馈问题整改工作，持续巩固扩大整改成果，认真做好巡察“后半篇文章”，确保此次巡察整改工作圆满完成并切实将巡察整改工作成果转化为提升工作水平的强大动力。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（一）持续推进常态化整改，保持高压态势，对巡察整改问题中的一些重点难点或共性问题，虽已经完成整改，但需进一步压实责任，巩固整改成效，防止问题反弹。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进一步完善与加强区政协办公室的制度建设和工作机制建设，对巡察整改中的问题举一反三，加强分析预判，及时堵漏补缺，防微杜渐。我办在本次巡察反馈问题集中整改的基础上，由办公室主要负责人部署规范化建设有关工作，建立、修订和完善内部制度，形成一整套科学完善的工作机制，让办公室各项工作的开展都有章可循。</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（三）要充分总结本次巡察集中整改的经验得失，反思和回顾集中整改过程中的重点难点问题，为进一步强化区政协办公室的管理水平提供参考和指引。</w:t>
      </w:r>
    </w:p>
    <w:p>
      <w:pPr>
        <w:pStyle w:val="2"/>
        <w:rPr>
          <w:rFonts w:hint="eastAsia"/>
          <w:sz w:val="32"/>
          <w:szCs w:val="32"/>
          <w:lang w:val="en-US" w:eastAsia="zh-CN"/>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欢迎广大干部群众对巡察整改落实情况进行监督。如有意见建议，请及时向我们反映。公开期限：202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日。联系方式：电话0757—</w:t>
      </w:r>
      <w:r>
        <w:rPr>
          <w:rFonts w:hint="eastAsia" w:ascii="仿宋_GB2312" w:hAnsi="仿宋_GB2312" w:eastAsia="仿宋_GB2312" w:cs="仿宋_GB2312"/>
          <w:sz w:val="32"/>
          <w:szCs w:val="32"/>
          <w:lang w:val="en-US" w:eastAsia="zh-CN"/>
        </w:rPr>
        <w:t>22830810</w:t>
      </w:r>
      <w:r>
        <w:rPr>
          <w:rFonts w:hint="eastAsia" w:ascii="仿宋_GB2312" w:hAnsi="仿宋_GB2312" w:eastAsia="仿宋_GB2312" w:cs="仿宋_GB2312"/>
          <w:sz w:val="32"/>
          <w:szCs w:val="32"/>
        </w:rPr>
        <w:t>；邮政地址：佛山市</w:t>
      </w:r>
      <w:r>
        <w:rPr>
          <w:rFonts w:hint="eastAsia" w:ascii="仿宋_GB2312" w:hAnsi="仿宋_GB2312" w:eastAsia="仿宋_GB2312" w:cs="仿宋_GB2312"/>
          <w:sz w:val="32"/>
          <w:szCs w:val="32"/>
          <w:lang w:eastAsia="zh-CN"/>
        </w:rPr>
        <w:t>顺德区大良街道德民路行政大楼西二楼</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邮政编码：</w:t>
      </w:r>
      <w:r>
        <w:rPr>
          <w:rFonts w:hint="eastAsia" w:ascii="仿宋_GB2312" w:hAnsi="仿宋_GB2312" w:eastAsia="仿宋_GB2312" w:cs="仿宋_GB2312"/>
          <w:sz w:val="32"/>
          <w:szCs w:val="32"/>
        </w:rPr>
        <w:t>528333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电子邮箱：sdzx@shunde.gov.cn。</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ind w:firstLine="2880" w:firstLineChars="9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政协佛山市顺德区委员会办公室</w:t>
      </w:r>
    </w:p>
    <w:p>
      <w:pPr>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年2月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日</w:t>
      </w:r>
    </w:p>
    <w:p>
      <w:pPr>
        <w:rPr>
          <w:rFonts w:hint="eastAsia"/>
          <w:color w:val="000000" w:themeColor="text1"/>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方正小标宋简体"/>
    <w:panose1 w:val="02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黑体_GB2312">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42392"/>
    <w:multiLevelType w:val="singleLevel"/>
    <w:tmpl w:val="67342392"/>
    <w:lvl w:ilvl="0" w:tentative="0">
      <w:start w:val="1"/>
      <w:numFmt w:val="chineseCounting"/>
      <w:suff w:val="nothing"/>
      <w:lvlText w:val="%1、"/>
      <w:lvlJc w:val="left"/>
    </w:lvl>
  </w:abstractNum>
  <w:abstractNum w:abstractNumId="1">
    <w:nsid w:val="67342F97"/>
    <w:multiLevelType w:val="singleLevel"/>
    <w:tmpl w:val="67342F9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5E0D"/>
    <w:rsid w:val="0297217A"/>
    <w:rsid w:val="02B30422"/>
    <w:rsid w:val="0956560C"/>
    <w:rsid w:val="0C923664"/>
    <w:rsid w:val="0D6C32C0"/>
    <w:rsid w:val="0E180EBF"/>
    <w:rsid w:val="0EAB2C44"/>
    <w:rsid w:val="12EA717F"/>
    <w:rsid w:val="154D32D7"/>
    <w:rsid w:val="15542744"/>
    <w:rsid w:val="16BB7EFB"/>
    <w:rsid w:val="191A4C34"/>
    <w:rsid w:val="1AE6141A"/>
    <w:rsid w:val="1F07138D"/>
    <w:rsid w:val="1F987EAB"/>
    <w:rsid w:val="2224563E"/>
    <w:rsid w:val="22885A93"/>
    <w:rsid w:val="234C3ADB"/>
    <w:rsid w:val="24F251F5"/>
    <w:rsid w:val="251D6839"/>
    <w:rsid w:val="25891845"/>
    <w:rsid w:val="27902224"/>
    <w:rsid w:val="2A676205"/>
    <w:rsid w:val="2D523DAE"/>
    <w:rsid w:val="2FB073FE"/>
    <w:rsid w:val="321E6F13"/>
    <w:rsid w:val="3238241A"/>
    <w:rsid w:val="34070863"/>
    <w:rsid w:val="343C72D9"/>
    <w:rsid w:val="346C7471"/>
    <w:rsid w:val="366222DB"/>
    <w:rsid w:val="3B183A41"/>
    <w:rsid w:val="425946F6"/>
    <w:rsid w:val="45DD0305"/>
    <w:rsid w:val="47851A42"/>
    <w:rsid w:val="48D04271"/>
    <w:rsid w:val="4A2020D5"/>
    <w:rsid w:val="4C3431DF"/>
    <w:rsid w:val="4C660971"/>
    <w:rsid w:val="4CB27F88"/>
    <w:rsid w:val="4E9B3AE2"/>
    <w:rsid w:val="553F150D"/>
    <w:rsid w:val="59232F03"/>
    <w:rsid w:val="5F5B5539"/>
    <w:rsid w:val="63D71D66"/>
    <w:rsid w:val="67AE1322"/>
    <w:rsid w:val="70C53AF8"/>
    <w:rsid w:val="73351D86"/>
    <w:rsid w:val="75F74D0F"/>
    <w:rsid w:val="773754D0"/>
    <w:rsid w:val="78490A35"/>
    <w:rsid w:val="7AD46B90"/>
    <w:rsid w:val="7E6A681C"/>
    <w:rsid w:val="7FCB38D8"/>
    <w:rsid w:val="7FE4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Cs w:val="24"/>
    </w:rPr>
  </w:style>
  <w:style w:type="paragraph" w:styleId="3">
    <w:name w:val="Title"/>
    <w:basedOn w:val="1"/>
    <w:next w:val="1"/>
    <w:qFormat/>
    <w:uiPriority w:val="0"/>
    <w:pPr>
      <w:spacing w:before="240" w:after="60"/>
      <w:jc w:val="center"/>
      <w:textAlignment w:val="baseline"/>
    </w:pPr>
    <w:rPr>
      <w:rFonts w:ascii="Cambria" w:hAnsi="Cambria"/>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201806041355</dc:creator>
  <cp:lastModifiedBy>林祖强</cp:lastModifiedBy>
  <cp:lastPrinted>2024-11-14T00:36:00Z</cp:lastPrinted>
  <dcterms:modified xsi:type="dcterms:W3CDTF">2025-02-12T01:47:48Z</dcterms:modified>
  <dc:title>顺德区政协办公室关于巡察整改进展情况的通报（模板）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